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92"/>
          <w:sz w:val="44"/>
          <w:szCs w:val="44"/>
        </w:rPr>
        <w:t>2019年宁波市有突出贡献专家</w:t>
      </w:r>
      <w:r>
        <w:rPr>
          <w:rFonts w:hint="eastAsia" w:ascii="方正小标宋简体" w:eastAsia="方正小标宋简体"/>
          <w:w w:val="92"/>
          <w:sz w:val="44"/>
          <w:szCs w:val="44"/>
          <w:lang w:eastAsia="zh-CN"/>
        </w:rPr>
        <w:t>拟入选名单</w:t>
      </w:r>
      <w:r>
        <w:rPr>
          <w:rFonts w:hint="eastAsia" w:ascii="方正小标宋简体" w:eastAsia="方正小标宋简体"/>
          <w:w w:val="92"/>
          <w:sz w:val="44"/>
          <w:szCs w:val="44"/>
        </w:rPr>
        <w:t>公示表</w:t>
      </w:r>
    </w:p>
    <w:tbl>
      <w:tblPr>
        <w:tblStyle w:val="6"/>
        <w:tblW w:w="1075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760"/>
        <w:gridCol w:w="614"/>
        <w:gridCol w:w="5199"/>
        <w:gridCol w:w="2526"/>
        <w:gridCol w:w="10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Header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工作单位、职务、职称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行业与从事专业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柯建东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宁波柯力传感科技股份有限公司，无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智能传感科技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宁波慈星股份有限公司，高级工程师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宁波华成阀门有限公司，正高级工程师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阀门设计与制造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宁波诺丁汉新材料研究院有限公司，教授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能源化工、环境工程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王瑞平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宁波吉利罗佑发动机零部件有限公司，高级工程师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发动机研发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宁波市轨道交通集团有限公司，教授级高工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轨道交通工程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屈长征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梅乐和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浙江大学宁波理工学院，教授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葛楚天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昕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浙江医药高等专科学校，教授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分子生药学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中国兵器科学研究院宁波分院，研究员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焊接与表面工程技术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吴爱国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中科院宁波材料所，高级研究员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纳米生物医学材料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蒋天颖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宁波财经学院，教授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区域经济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宁波市职业技术教育中心学校，高级教师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红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宁波市水上运动训练基地，国家级教练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帆船帆板教练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丁杨明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宁波广播电视集团，高级记者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吴慧明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浙江开天工程技术有限公司，教授级高工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董建达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国网浙江省电力有限公司宁波供电公司，教授级高级工程师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宁波市农业科学研究院，教授级高工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农产品加工与保鲜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宁波市海洋与渔业研究院，高级工程师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食品安全与渔业资源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唐绍祥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宁波大学，教授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宁波市鄞州区华泰小学，正高级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省特级教师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俞浩奇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宁波市古林职业高级中学，副研究员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吴伟主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宁波市李惠利东部医院，主任医师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宁波市中医院，主任中医师(专技二级)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王健良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镇海石化建安工程有限公司，高级工程师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化工机械制造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  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宁波东方电缆股份有限公司,高级工程师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海底电缆、海洋脐带缆设计研发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傅科杰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宁波海关技术中心，研究员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植物检疫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拟正选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3D7C"/>
    <w:rsid w:val="02BE245E"/>
    <w:rsid w:val="0DA26DD0"/>
    <w:rsid w:val="2E6755D9"/>
    <w:rsid w:val="2FE33D7C"/>
    <w:rsid w:val="4BFF5F46"/>
    <w:rsid w:val="4D781791"/>
    <w:rsid w:val="51173FC1"/>
    <w:rsid w:val="5198645A"/>
    <w:rsid w:val="57952A77"/>
    <w:rsid w:val="60ED79B8"/>
    <w:rsid w:val="63E57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ind w:firstLine="0" w:firstLineChars="0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Cambria" w:hAnsi="Cambria"/>
      <w:b/>
      <w:bCs/>
      <w:sz w:val="36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Cambria" w:hAnsi="Cambria" w:eastAsia="宋体"/>
      <w:b/>
      <w:bCs/>
      <w:sz w:val="36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标题 3 Char"/>
    <w:link w:val="4"/>
    <w:qFormat/>
    <w:uiPriority w:val="0"/>
    <w:rPr>
      <w:rFonts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2019-08-20T15:22:00Z</dcterms:created>
  <dc:creator>Dora</dc:creator>
  <cp:lastModifiedBy>Administrator</cp:lastModifiedBy>
  <dcterms:modified xsi:type="dcterms:W3CDTF">2019-09-20T04:46:23Z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