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spacing w:beforeAutospacing="0" w:afterAutospacing="0" w:line="560" w:lineRule="exact"/>
        <w:jc w:val="center"/>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宁波人力资源和社会保障局通过法定途径分类处理信访投诉请求清单</w:t>
      </w:r>
    </w:p>
    <w:p>
      <w:pPr>
        <w:pStyle w:val="11"/>
        <w:widowControl/>
        <w:spacing w:beforeAutospacing="0" w:afterAutospacing="0"/>
      </w:pPr>
      <w:r>
        <w:rPr>
          <w:rFonts w:hint="eastAsia" w:ascii="微软雅黑" w:hAnsi="微软雅黑" w:eastAsia="微软雅黑" w:cs="微软雅黑"/>
          <w:sz w:val="18"/>
          <w:szCs w:val="18"/>
          <w:shd w:val="clear" w:color="auto" w:fill="FFFFFF"/>
        </w:rPr>
        <w:t> </w:t>
      </w:r>
    </w:p>
    <w:p>
      <w:pPr>
        <w:pStyle w:val="11"/>
        <w:widowControl/>
        <w:spacing w:beforeAutospacing="0" w:afterAutospacing="0" w:line="630" w:lineRule="atLeast"/>
        <w:ind w:firstLine="420"/>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一、申诉求决类</w:t>
      </w:r>
      <w:r>
        <w:rPr>
          <w:rFonts w:hint="eastAsia" w:ascii="黑体" w:hAnsi="黑体" w:eastAsia="黑体" w:cs="黑体"/>
          <w:sz w:val="32"/>
          <w:szCs w:val="32"/>
          <w:shd w:val="clear" w:color="auto" w:fill="FFFFFF"/>
          <w:lang w:eastAsia="zh-CN"/>
        </w:rPr>
        <w:t>投</w:t>
      </w:r>
      <w:r>
        <w:rPr>
          <w:rFonts w:hint="eastAsia" w:ascii="黑体" w:hAnsi="黑体" w:eastAsia="黑体" w:cs="黑体"/>
          <w:sz w:val="32"/>
          <w:szCs w:val="32"/>
          <w:shd w:val="clear" w:color="auto" w:fill="FFFFFF"/>
        </w:rPr>
        <w:t>诉请求</w:t>
      </w:r>
    </w:p>
    <w:p>
      <w:pPr>
        <w:pStyle w:val="11"/>
        <w:widowControl/>
        <w:spacing w:beforeAutospacing="0" w:afterAutospacing="0" w:line="630" w:lineRule="atLeast"/>
        <w:ind w:firstLine="42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（一）不服人力社保部门作出的行政许可行为</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1.具体投诉请求：</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不服人力社保部门作出的以下行政许可行为：</w:t>
      </w:r>
    </w:p>
    <w:tbl>
      <w:tblPr>
        <w:tblStyle w:val="13"/>
        <w:tblW w:w="8592" w:type="dxa"/>
        <w:jc w:val="center"/>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01"/>
        <w:gridCol w:w="6180"/>
        <w:gridCol w:w="161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2" w:hRule="atLeast"/>
          <w:jc w:val="center"/>
        </w:trPr>
        <w:tc>
          <w:tcPr>
            <w:tcW w:w="801"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both"/>
              <w:rPr>
                <w:rFonts w:ascii="黑体" w:hAnsi="黑体" w:eastAsia="黑体" w:cs="黑体"/>
                <w:sz w:val="28"/>
                <w:szCs w:val="28"/>
              </w:rPr>
            </w:pPr>
            <w:r>
              <w:rPr>
                <w:rFonts w:hint="eastAsia" w:ascii="黑体" w:hAnsi="黑体" w:eastAsia="黑体" w:cs="黑体"/>
                <w:sz w:val="28"/>
                <w:szCs w:val="28"/>
              </w:rPr>
              <w:t>序号</w:t>
            </w:r>
          </w:p>
        </w:tc>
        <w:tc>
          <w:tcPr>
            <w:tcW w:w="6180"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行政许可行为内容</w:t>
            </w:r>
          </w:p>
        </w:tc>
        <w:tc>
          <w:tcPr>
            <w:tcW w:w="1611"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业务类别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jc w:val="center"/>
        </w:trPr>
        <w:tc>
          <w:tcPr>
            <w:tcW w:w="801"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p>
        </w:tc>
        <w:tc>
          <w:tcPr>
            <w:tcW w:w="6180"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中外合资中外合作职业介绍机构设立审批</w:t>
            </w:r>
          </w:p>
        </w:tc>
        <w:tc>
          <w:tcPr>
            <w:tcW w:w="1611"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人才开发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jc w:val="center"/>
        </w:trPr>
        <w:tc>
          <w:tcPr>
            <w:tcW w:w="801"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p>
        </w:tc>
        <w:tc>
          <w:tcPr>
            <w:tcW w:w="6180"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技工学校设立审批</w:t>
            </w:r>
          </w:p>
        </w:tc>
        <w:tc>
          <w:tcPr>
            <w:tcW w:w="1611" w:type="dxa"/>
            <w:vMerge w:val="restart"/>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职业技能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jc w:val="center"/>
        </w:trPr>
        <w:tc>
          <w:tcPr>
            <w:tcW w:w="801"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3</w:t>
            </w:r>
          </w:p>
        </w:tc>
        <w:tc>
          <w:tcPr>
            <w:tcW w:w="6180"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rPr>
            </w:pPr>
            <w:r>
              <w:rPr>
                <w:rFonts w:hint="eastAsia" w:ascii="仿宋_GB2312" w:hAnsi="仿宋_GB2312" w:eastAsia="仿宋_GB2312" w:cs="仿宋_GB2312"/>
              </w:rPr>
              <w:t>中外合作职业技能培训机构设立、分立、合并、变更及终止审批</w:t>
            </w:r>
          </w:p>
        </w:tc>
        <w:tc>
          <w:tcPr>
            <w:tcW w:w="161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仿宋_GB2312" w:hAnsi="仿宋_GB2312" w:eastAsia="仿宋_GB2312" w:cs="仿宋_GB2312"/>
                <w:sz w:val="24"/>
              </w:rPr>
            </w:pPr>
          </w:p>
        </w:tc>
      </w:tr>
    </w:tbl>
    <w:p>
      <w:pPr>
        <w:pStyle w:val="11"/>
        <w:widowControl/>
        <w:spacing w:beforeAutospacing="0" w:afterAutospacing="0" w:line="580" w:lineRule="exact"/>
        <w:rPr>
          <w:rFonts w:ascii="仿宋_GB2312" w:hAnsi="仿宋_GB2312" w:eastAsia="仿宋_GB2312" w:cs="仿宋_GB2312"/>
          <w:sz w:val="32"/>
          <w:szCs w:val="32"/>
          <w:shd w:val="clear" w:color="auto" w:fill="FFFFFF"/>
        </w:rPr>
      </w:pPr>
    </w:p>
    <w:p>
      <w:pPr>
        <w:pStyle w:val="11"/>
        <w:widowControl/>
        <w:spacing w:beforeAutospacing="0" w:afterAutospacing="0" w:line="58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2.法定途径：申请行政复议、提起行政诉讼。</w:t>
      </w:r>
    </w:p>
    <w:p>
      <w:pPr>
        <w:pStyle w:val="11"/>
        <w:widowControl/>
        <w:spacing w:beforeAutospacing="0" w:afterAutospacing="0" w:line="58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主要政策法规依据：《中华人民共和国行政复议法》、《中华人民共和国行政诉讼法》、《中华人民共和国行政许可法》、《中华人民共和国劳动法》、《中华人民共和国职业教育法》、《中华人民共和国就业促进法》、《国务院对确需保留的行政审批项目设定行政许可的决定》（国务院令第412号）、《中外合作办学条例》（国务院令第372号）、《中外合资中外合作职业介绍机构设立管理暂行规定》等。</w:t>
      </w:r>
    </w:p>
    <w:p>
      <w:pPr>
        <w:pStyle w:val="11"/>
        <w:widowControl/>
        <w:spacing w:beforeAutospacing="0" w:afterAutospacing="0" w:line="580" w:lineRule="exact"/>
        <w:ind w:firstLine="42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（二）不服人力社保部门作出的行政给付行为</w:t>
      </w:r>
    </w:p>
    <w:p>
      <w:pPr>
        <w:pStyle w:val="11"/>
        <w:widowControl/>
        <w:spacing w:beforeAutospacing="0" w:afterAutospacing="0" w:line="58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1.具体投诉请求：</w:t>
      </w:r>
    </w:p>
    <w:p>
      <w:pPr>
        <w:pStyle w:val="11"/>
        <w:widowControl/>
        <w:spacing w:beforeAutospacing="0" w:afterAutospacing="0" w:line="58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不服人力社保部门作出的以下行政给付行为：</w:t>
      </w:r>
    </w:p>
    <w:tbl>
      <w:tblPr>
        <w:tblStyle w:val="13"/>
        <w:tblW w:w="7248" w:type="dxa"/>
        <w:jc w:val="center"/>
        <w:tblInd w:w="6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32"/>
        <w:gridCol w:w="4980"/>
        <w:gridCol w:w="15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rPr>
            </w:pPr>
            <w:r>
              <w:rPr>
                <w:rFonts w:hint="eastAsia" w:ascii="黑体" w:hAnsi="黑体" w:eastAsia="黑体" w:cs="黑体"/>
              </w:rPr>
              <w:t>序号</w:t>
            </w:r>
          </w:p>
        </w:tc>
        <w:tc>
          <w:tcPr>
            <w:tcW w:w="4980"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rPr>
            </w:pPr>
            <w:r>
              <w:rPr>
                <w:rFonts w:hint="eastAsia" w:ascii="黑体" w:hAnsi="黑体" w:eastAsia="黑体" w:cs="黑体"/>
              </w:rPr>
              <w:t>行政给付行为内容</w:t>
            </w:r>
          </w:p>
        </w:tc>
        <w:tc>
          <w:tcPr>
            <w:tcW w:w="1536"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rPr>
            </w:pPr>
            <w:r>
              <w:rPr>
                <w:rFonts w:hint="eastAsia" w:ascii="黑体" w:hAnsi="黑体" w:eastAsia="黑体" w:cs="黑体"/>
              </w:rPr>
              <w:t>业务类别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980"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工伤保险待遇核准支付</w:t>
            </w:r>
          </w:p>
        </w:tc>
        <w:tc>
          <w:tcPr>
            <w:tcW w:w="1536" w:type="dxa"/>
            <w:vMerge w:val="restart"/>
            <w:tcBorders>
              <w:top w:val="single" w:color="auto" w:sz="4" w:space="0"/>
              <w:left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社保经办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980"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养老保险待遇核准支付</w:t>
            </w:r>
          </w:p>
        </w:tc>
        <w:tc>
          <w:tcPr>
            <w:tcW w:w="1536" w:type="dxa"/>
            <w:vMerge w:val="continue"/>
            <w:tcBorders>
              <w:left w:val="single" w:color="auto" w:sz="4" w:space="0"/>
              <w:right w:val="single" w:color="auto" w:sz="4" w:space="0"/>
            </w:tcBorders>
            <w:shd w:val="clear" w:color="auto" w:fill="auto"/>
            <w:tcMar>
              <w:left w:w="84" w:type="dxa"/>
              <w:right w:w="84" w:type="dxa"/>
            </w:tcMar>
            <w:vAlign w:val="center"/>
          </w:tcPr>
          <w:p>
            <w:pPr>
              <w:jc w:val="center"/>
              <w:rPr>
                <w:rFonts w:ascii="仿宋_GB2312" w:hAnsi="仿宋_GB2312" w:eastAsia="仿宋_GB2312" w:cs="仿宋_GB2312"/>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7" w:hRule="atLeast"/>
          <w:jc w:val="center"/>
        </w:trPr>
        <w:tc>
          <w:tcPr>
            <w:tcW w:w="732" w:type="dxa"/>
            <w:tcBorders>
              <w:top w:val="single" w:color="auto" w:sz="4" w:space="0"/>
              <w:left w:val="single" w:color="auto" w:sz="4" w:space="0"/>
              <w:right w:val="single" w:color="auto" w:sz="4" w:space="0"/>
            </w:tcBorders>
            <w:shd w:val="clear" w:color="auto" w:fill="auto"/>
            <w:tcMar>
              <w:left w:w="84" w:type="dxa"/>
              <w:right w:w="84" w:type="dxa"/>
            </w:tcMar>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980"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tcPr>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部分人员非统筹费用待遇核定发放</w:t>
            </w:r>
          </w:p>
        </w:tc>
        <w:tc>
          <w:tcPr>
            <w:tcW w:w="1536" w:type="dxa"/>
            <w:vMerge w:val="continue"/>
            <w:tcBorders>
              <w:left w:val="single" w:color="auto" w:sz="4" w:space="0"/>
              <w:right w:val="single" w:color="auto" w:sz="4" w:space="0"/>
            </w:tcBorders>
            <w:shd w:val="clear" w:color="auto" w:fill="auto"/>
            <w:tcMar>
              <w:left w:w="84" w:type="dxa"/>
              <w:right w:w="84" w:type="dxa"/>
            </w:tcMar>
            <w:vAlign w:val="center"/>
          </w:tcPr>
          <w:p>
            <w:pPr>
              <w:jc w:val="center"/>
              <w:rPr>
                <w:rFonts w:ascii="仿宋_GB2312" w:hAnsi="仿宋_GB2312" w:eastAsia="仿宋_GB2312" w:cs="仿宋_GB2312"/>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spacing w:line="5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p>
        </w:tc>
        <w:tc>
          <w:tcPr>
            <w:tcW w:w="4980"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就业创业各类补贴补助核定发放</w:t>
            </w:r>
          </w:p>
        </w:tc>
        <w:tc>
          <w:tcPr>
            <w:tcW w:w="1536"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就业创业</w:t>
            </w:r>
          </w:p>
        </w:tc>
      </w:tr>
    </w:tbl>
    <w:p>
      <w:pPr>
        <w:pStyle w:val="11"/>
        <w:widowControl/>
        <w:spacing w:beforeAutospacing="0" w:afterAutospacing="0" w:line="580" w:lineRule="exact"/>
        <w:ind w:firstLine="420"/>
        <w:rPr>
          <w:rFonts w:ascii="仿宋_GB2312" w:hAnsi="仿宋_GB2312" w:eastAsia="仿宋_GB2312" w:cs="仿宋_GB2312"/>
          <w:sz w:val="32"/>
          <w:szCs w:val="32"/>
          <w:shd w:val="clear" w:color="auto" w:fill="FFFFFF"/>
        </w:rPr>
      </w:pPr>
    </w:p>
    <w:p>
      <w:pPr>
        <w:pStyle w:val="11"/>
        <w:widowControl/>
        <w:spacing w:beforeAutospacing="0" w:afterAutospacing="0" w:line="58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2.法定途径：申请行政复议、提起行政诉讼。</w:t>
      </w:r>
    </w:p>
    <w:p>
      <w:pPr>
        <w:pStyle w:val="11"/>
        <w:widowControl/>
        <w:spacing w:beforeAutospacing="0" w:afterAutospacing="0" w:line="58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主要政策法规依据：《中华人民共和国行政复议法》、《中华人民共和国行政诉讼法》、《中华人民共和国社会保险法》、《工伤保险条例》（国务院令第586号）、《浙江省职工基本养老保险条例》、《浙江省工伤保险条例》等。</w:t>
      </w:r>
    </w:p>
    <w:p>
      <w:pPr>
        <w:pStyle w:val="11"/>
        <w:widowControl/>
        <w:spacing w:beforeAutospacing="0" w:afterAutospacing="0" w:line="580" w:lineRule="exact"/>
        <w:ind w:firstLine="42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（三）不服人力社保部门作出的行政确认行为</w:t>
      </w:r>
    </w:p>
    <w:p>
      <w:pPr>
        <w:pStyle w:val="11"/>
        <w:widowControl/>
        <w:spacing w:beforeAutospacing="0" w:afterAutospacing="0" w:line="58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1.具体投诉请求：</w:t>
      </w:r>
    </w:p>
    <w:p>
      <w:pPr>
        <w:pStyle w:val="11"/>
        <w:widowControl/>
        <w:spacing w:beforeAutospacing="0" w:afterAutospacing="0" w:line="580" w:lineRule="exact"/>
        <w:ind w:firstLine="42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不服人力社保部门作出的以下行政确认行为：</w:t>
      </w:r>
    </w:p>
    <w:p>
      <w:pPr>
        <w:pStyle w:val="11"/>
        <w:widowControl/>
        <w:spacing w:beforeAutospacing="0" w:afterAutospacing="0" w:line="580" w:lineRule="exact"/>
        <w:ind w:firstLine="420"/>
        <w:rPr>
          <w:rFonts w:hint="eastAsia" w:ascii="仿宋_GB2312" w:hAnsi="仿宋_GB2312" w:eastAsia="仿宋_GB2312" w:cs="仿宋_GB2312"/>
          <w:sz w:val="32"/>
          <w:szCs w:val="32"/>
          <w:shd w:val="clear" w:color="auto" w:fill="FFFFFF"/>
        </w:rPr>
      </w:pPr>
    </w:p>
    <w:p>
      <w:pPr>
        <w:pStyle w:val="11"/>
        <w:widowControl/>
        <w:spacing w:beforeAutospacing="0" w:afterAutospacing="0" w:line="630" w:lineRule="atLeast"/>
        <w:rPr>
          <w:rFonts w:ascii="微软雅黑" w:hAnsi="微软雅黑" w:eastAsia="微软雅黑" w:cs="微软雅黑"/>
          <w:sz w:val="21"/>
          <w:szCs w:val="21"/>
          <w:shd w:val="clear" w:color="auto" w:fill="FFFFFF"/>
        </w:rPr>
      </w:pPr>
    </w:p>
    <w:tbl>
      <w:tblPr>
        <w:tblStyle w:val="13"/>
        <w:tblW w:w="8806"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spacing w:line="50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7847" w:type="dxa"/>
          </w:tcPr>
          <w:p>
            <w:pPr>
              <w:spacing w:line="500" w:lineRule="exact"/>
              <w:jc w:val="center"/>
              <w:rPr>
                <w:rFonts w:ascii="黑体" w:hAnsi="黑体" w:eastAsia="黑体" w:cs="黑体"/>
                <w:sz w:val="28"/>
                <w:szCs w:val="28"/>
              </w:rPr>
            </w:pPr>
            <w:r>
              <w:rPr>
                <w:rFonts w:hint="eastAsia" w:ascii="黑体" w:hAnsi="黑体" w:eastAsia="黑体" w:cs="黑体"/>
                <w:sz w:val="28"/>
                <w:szCs w:val="28"/>
              </w:rPr>
              <w:t>行政确认行为内容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847"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因病或非因工负伤提前退休（职）确认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7847"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特殊工种提前退休确认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7847"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参保人员正常退休确认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7847"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工伤费率核定</w:t>
            </w:r>
          </w:p>
        </w:tc>
      </w:tr>
    </w:tbl>
    <w:p>
      <w:pPr>
        <w:spacing w:line="500" w:lineRule="exact"/>
        <w:ind w:firstLine="422" w:firstLineChars="200"/>
        <w:rPr>
          <w:rFonts w:ascii="仿宋_GB2312" w:cs="仿宋_GB2312"/>
          <w:b/>
          <w:bCs/>
        </w:rPr>
      </w:pP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2.法定途径：申请行政复议、提起行政诉讼。</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主要政策法规依据：《中华人民共和国行政复议法》、《中华人民共和国行政诉讼法》、《中华人民共和国社会保险法》、《关于工人退休、退职的暂行办法》、《工伤保险条例》（国务院令586号）、《浙江省职工基本养老保险条例》、《浙江省工伤保险条例》等。</w:t>
      </w:r>
    </w:p>
    <w:p>
      <w:pPr>
        <w:pStyle w:val="11"/>
        <w:widowControl/>
        <w:spacing w:beforeAutospacing="0" w:afterAutospacing="0" w:line="630" w:lineRule="atLeast"/>
        <w:ind w:firstLine="42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（四）不服人力社保部门作出的行政处罚行为</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1.具体投诉请求：</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不服人力社保部门对本清单第二部分第一项所列违法行为作出的行政处罚行为。</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2.法定途径：申请行政复议、提起行政诉讼。</w:t>
      </w:r>
    </w:p>
    <w:p>
      <w:pPr>
        <w:pStyle w:val="11"/>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主要政策法规依据：《中华人民共和国行政复议法》、《中华人民共和国行政诉讼法》、《中华人民共和国行政处罚法》、《中华人民共和国劳动法》、《中华人民共和国劳动合同法》、《中华人民共和国社会保险法》、《中华人民共和国就业促进法》、《劳动保障监察条例》、《工伤保险条例》、《中华人民共和国劳动合同法实施条例》、《禁止使用童工规定》、《浙江省劳动保障监察条例》、《浙江省企业工资支付管理办法》等。</w:t>
      </w:r>
    </w:p>
    <w:p>
      <w:pPr>
        <w:pStyle w:val="11"/>
        <w:widowControl/>
        <w:spacing w:beforeAutospacing="0" w:afterAutospacing="0" w:line="560" w:lineRule="exact"/>
        <w:ind w:firstLine="42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（五）不服人力社保部门作出的行政强制措施</w:t>
      </w:r>
    </w:p>
    <w:p>
      <w:pPr>
        <w:pStyle w:val="11"/>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1.具体投诉请求：</w:t>
      </w:r>
    </w:p>
    <w:p>
      <w:pPr>
        <w:pStyle w:val="11"/>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不服人力社保部门作出的以下行政强制措施：</w:t>
      </w:r>
    </w:p>
    <w:tbl>
      <w:tblPr>
        <w:tblStyle w:val="13"/>
        <w:tblW w:w="8215" w:type="dxa"/>
        <w:jc w:val="center"/>
        <w:tblInd w:w="6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32"/>
        <w:gridCol w:w="5757"/>
        <w:gridCol w:w="17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序号</w:t>
            </w:r>
          </w:p>
        </w:tc>
        <w:tc>
          <w:tcPr>
            <w:tcW w:w="5757"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行政强制措施内容</w:t>
            </w:r>
          </w:p>
        </w:tc>
        <w:tc>
          <w:tcPr>
            <w:tcW w:w="1726"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业务类别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5757"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监督检查社会保险基金的收支、管理和投资运营情况中，对可能被转移、隐匿或者灭失的资料予以封存</w:t>
            </w:r>
          </w:p>
        </w:tc>
        <w:tc>
          <w:tcPr>
            <w:tcW w:w="1726" w:type="dxa"/>
            <w:vMerge w:val="restart"/>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劳动保障监察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5757"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先行登记保存证据</w:t>
            </w:r>
          </w:p>
        </w:tc>
        <w:tc>
          <w:tcPr>
            <w:tcW w:w="1726"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仿宋_GB2312" w:hAnsi="仿宋_GB2312" w:eastAsia="仿宋_GB2312" w:cs="仿宋_GB2312"/>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5757"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抽样取证</w:t>
            </w:r>
          </w:p>
        </w:tc>
        <w:tc>
          <w:tcPr>
            <w:tcW w:w="1726"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仿宋_GB2312" w:hAnsi="仿宋_GB2312" w:eastAsia="仿宋_GB2312" w:cs="仿宋_GB2312"/>
                <w:sz w:val="24"/>
              </w:rPr>
            </w:pPr>
          </w:p>
        </w:tc>
      </w:tr>
    </w:tbl>
    <w:p>
      <w:pPr>
        <w:pStyle w:val="11"/>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2.法定途径：申请行政复议、提起行政诉讼。</w:t>
      </w:r>
    </w:p>
    <w:p>
      <w:pPr>
        <w:pStyle w:val="11"/>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3.主要政策法规依据：《中华人民共和国行政复议法》、《中华人民共和国行政诉讼法》、《中华人民共和国社会保险法》、《中华人民共和国行政处罚法》、《中华人民共和国行政强制法》等。</w:t>
      </w:r>
    </w:p>
    <w:p>
      <w:pPr>
        <w:pStyle w:val="11"/>
        <w:widowControl/>
        <w:spacing w:beforeAutospacing="0" w:afterAutospacing="0" w:line="560" w:lineRule="exact"/>
        <w:ind w:firstLine="42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（六）不服人力社保部门作出的其他行政行为</w:t>
      </w:r>
    </w:p>
    <w:p>
      <w:pPr>
        <w:pStyle w:val="11"/>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1.具体投诉请求：</w:t>
      </w:r>
    </w:p>
    <w:p>
      <w:pPr>
        <w:pStyle w:val="11"/>
        <w:widowControl/>
        <w:spacing w:beforeAutospacing="0" w:afterAutospacing="0" w:line="560" w:lineRule="exact"/>
        <w:ind w:firstLine="42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不服人力社保部门作出的其他行政行为：</w:t>
      </w:r>
    </w:p>
    <w:p>
      <w:pPr>
        <w:pStyle w:val="11"/>
        <w:widowControl/>
        <w:spacing w:beforeAutospacing="0" w:afterAutospacing="0" w:line="560" w:lineRule="exact"/>
        <w:ind w:firstLine="420"/>
        <w:rPr>
          <w:rFonts w:hint="eastAsia" w:ascii="仿宋_GB2312" w:hAnsi="仿宋_GB2312" w:eastAsia="仿宋_GB2312" w:cs="仿宋_GB2312"/>
          <w:sz w:val="32"/>
          <w:szCs w:val="32"/>
          <w:shd w:val="clear" w:color="auto" w:fill="FFFFFF"/>
        </w:rPr>
      </w:pPr>
    </w:p>
    <w:p>
      <w:pPr>
        <w:pStyle w:val="11"/>
        <w:widowControl/>
        <w:spacing w:beforeAutospacing="0" w:afterAutospacing="0" w:line="560" w:lineRule="exact"/>
        <w:ind w:firstLine="420"/>
        <w:rPr>
          <w:rFonts w:hint="eastAsia" w:ascii="仿宋_GB2312" w:hAnsi="仿宋_GB2312" w:eastAsia="仿宋_GB2312" w:cs="仿宋_GB2312"/>
          <w:sz w:val="32"/>
          <w:szCs w:val="32"/>
          <w:shd w:val="clear" w:color="auto" w:fill="FFFFFF"/>
        </w:rPr>
      </w:pPr>
    </w:p>
    <w:tbl>
      <w:tblPr>
        <w:tblStyle w:val="13"/>
        <w:tblW w:w="852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9"/>
        <w:gridCol w:w="7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9" w:type="dxa"/>
          </w:tcPr>
          <w:p>
            <w:pPr>
              <w:spacing w:line="500" w:lineRule="exact"/>
              <w:rPr>
                <w:rFonts w:ascii="黑体" w:hAnsi="黑体" w:eastAsia="黑体" w:cs="黑体"/>
                <w:sz w:val="28"/>
                <w:szCs w:val="28"/>
              </w:rPr>
            </w:pPr>
            <w:r>
              <w:rPr>
                <w:rFonts w:hint="eastAsia" w:ascii="黑体" w:hAnsi="黑体" w:eastAsia="黑体" w:cs="黑体"/>
                <w:sz w:val="28"/>
                <w:szCs w:val="28"/>
              </w:rPr>
              <w:t>序号</w:t>
            </w:r>
          </w:p>
        </w:tc>
        <w:tc>
          <w:tcPr>
            <w:tcW w:w="7743" w:type="dxa"/>
          </w:tcPr>
          <w:p>
            <w:pPr>
              <w:spacing w:line="500" w:lineRule="exact"/>
              <w:jc w:val="center"/>
              <w:rPr>
                <w:rFonts w:ascii="黑体" w:hAnsi="黑体" w:eastAsia="黑体" w:cs="黑体"/>
                <w:sz w:val="28"/>
                <w:szCs w:val="28"/>
              </w:rPr>
            </w:pPr>
            <w:r>
              <w:rPr>
                <w:rFonts w:hint="eastAsia" w:ascii="黑体" w:hAnsi="黑体" w:eastAsia="黑体" w:cs="黑体"/>
                <w:sz w:val="28"/>
                <w:szCs w:val="28"/>
              </w:rPr>
              <w:t>其他行政权力行为内容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9"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743"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人事考试应试人员违规违纪行为处理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9"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7743"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企业年金计划核准备案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9"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7743"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企业年金方案备案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9"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7743"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社保基金监督检查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9"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7743"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企业、行业单位职工非因工伤残或因病、因工死亡职工供养亲属丧失劳动能力程度鉴定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9" w:type="dxa"/>
            <w:vAlign w:val="center"/>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7743"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因工丧失劳动能力鉴定</w:t>
            </w:r>
          </w:p>
        </w:tc>
      </w:tr>
    </w:tbl>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2.法定途径：申请行政复议、提起行政诉讼。</w:t>
      </w:r>
    </w:p>
    <w:p>
      <w:pPr>
        <w:pStyle w:val="11"/>
        <w:widowControl/>
        <w:spacing w:beforeAutospacing="0" w:afterAutospacing="0" w:line="630" w:lineRule="atLeas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主要政策法规依据：《中华人民共和国行政复议法》、《中华人民共和国行政诉讼法》、《中华人民共和国社会保险法》、《国务院关于工人退休、退职的暂行办法》、《国务院关于安置老弱病残干部的暂行办法》、《社会保险费征缴暂行条例》（国务院令259号）、《工伤保险条例》（国务院令586号）、《企业年金基金管理办法》、《因工死亡职工供养亲属范围规定》、《企业年金试行办法》、</w:t>
      </w:r>
    </w:p>
    <w:p>
      <w:pPr>
        <w:pStyle w:val="11"/>
        <w:widowControl/>
        <w:spacing w:beforeAutospacing="0" w:afterAutospacing="0" w:line="630" w:lineRule="atLeast"/>
        <w:ind w:firstLine="420"/>
        <w:rPr>
          <w:rFonts w:ascii="楷体_GB2312" w:hAnsi="楷体_GB2312" w:eastAsia="楷体_GB2312" w:cs="楷体_GB2312"/>
          <w:sz w:val="32"/>
          <w:szCs w:val="32"/>
          <w:shd w:val="clear" w:color="auto" w:fill="FFFFFF"/>
        </w:rPr>
      </w:pPr>
    </w:p>
    <w:p>
      <w:pPr>
        <w:pStyle w:val="11"/>
        <w:widowControl/>
        <w:spacing w:beforeAutospacing="0" w:afterAutospacing="0" w:line="630" w:lineRule="atLeast"/>
        <w:ind w:firstLine="42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（七）不服事业单位及其主管部门作出人事处理决定</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1.具体投诉请求：</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事业单位工作人员不服单位及其主管部门作出涉及本人的人事处理决定行为：</w:t>
      </w:r>
    </w:p>
    <w:tbl>
      <w:tblPr>
        <w:tblStyle w:val="13"/>
        <w:tblW w:w="7725" w:type="dxa"/>
        <w:jc w:val="center"/>
        <w:tblInd w:w="6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32"/>
        <w:gridCol w:w="5698"/>
        <w:gridCol w:w="12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黑体" w:hAnsi="黑体" w:eastAsia="黑体" w:cs="黑体"/>
                <w:sz w:val="28"/>
                <w:szCs w:val="28"/>
              </w:rPr>
            </w:pPr>
            <w:r>
              <w:rPr>
                <w:rFonts w:hint="eastAsia" w:ascii="黑体" w:hAnsi="黑体" w:eastAsia="黑体" w:cs="黑体"/>
                <w:sz w:val="28"/>
                <w:szCs w:val="28"/>
              </w:rPr>
              <w:t>序号</w:t>
            </w:r>
          </w:p>
        </w:tc>
        <w:tc>
          <w:tcPr>
            <w:tcW w:w="5698"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黑体" w:hAnsi="黑体" w:eastAsia="黑体" w:cs="黑体"/>
                <w:sz w:val="28"/>
                <w:szCs w:val="28"/>
              </w:rPr>
            </w:pPr>
            <w:r>
              <w:rPr>
                <w:rFonts w:hint="eastAsia" w:ascii="黑体" w:hAnsi="黑体" w:eastAsia="黑体" w:cs="黑体"/>
                <w:sz w:val="28"/>
                <w:szCs w:val="28"/>
              </w:rPr>
              <w:t>人事处理决定内容</w:t>
            </w:r>
          </w:p>
        </w:tc>
        <w:tc>
          <w:tcPr>
            <w:tcW w:w="1295"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黑体" w:hAnsi="黑体" w:eastAsia="黑体" w:cs="黑体"/>
                <w:sz w:val="28"/>
                <w:szCs w:val="28"/>
              </w:rPr>
            </w:pPr>
            <w:r>
              <w:rPr>
                <w:rFonts w:hint="eastAsia" w:ascii="黑体" w:hAnsi="黑体" w:eastAsia="黑体" w:cs="黑体"/>
                <w:sz w:val="28"/>
                <w:szCs w:val="28"/>
              </w:rPr>
              <w:t>业务类别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1</w:t>
            </w:r>
          </w:p>
        </w:tc>
        <w:tc>
          <w:tcPr>
            <w:tcW w:w="5698"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处分</w:t>
            </w:r>
          </w:p>
        </w:tc>
        <w:tc>
          <w:tcPr>
            <w:tcW w:w="1295" w:type="dxa"/>
            <w:vMerge w:val="restart"/>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sz w:val="28"/>
                <w:szCs w:val="28"/>
              </w:rPr>
            </w:pPr>
            <w:r>
              <w:rPr>
                <w:rFonts w:hint="eastAsia" w:ascii="仿宋_GB2312" w:hAnsi="仿宋_GB2312" w:eastAsia="仿宋_GB2312" w:cs="仿宋_GB2312"/>
                <w:sz w:val="28"/>
                <w:szCs w:val="28"/>
              </w:rPr>
              <w:t>人事管理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2</w:t>
            </w:r>
          </w:p>
        </w:tc>
        <w:tc>
          <w:tcPr>
            <w:tcW w:w="5698"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清退违规进人</w:t>
            </w:r>
          </w:p>
        </w:tc>
        <w:tc>
          <w:tcPr>
            <w:tcW w:w="1295"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3</w:t>
            </w:r>
          </w:p>
        </w:tc>
        <w:tc>
          <w:tcPr>
            <w:tcW w:w="5698"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撤销奖励</w:t>
            </w:r>
          </w:p>
        </w:tc>
        <w:tc>
          <w:tcPr>
            <w:tcW w:w="1295"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4</w:t>
            </w:r>
          </w:p>
        </w:tc>
        <w:tc>
          <w:tcPr>
            <w:tcW w:w="5698"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考核定为基本合格或不合格</w:t>
            </w:r>
          </w:p>
        </w:tc>
        <w:tc>
          <w:tcPr>
            <w:tcW w:w="1295"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5</w:t>
            </w:r>
          </w:p>
        </w:tc>
        <w:tc>
          <w:tcPr>
            <w:tcW w:w="5698"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未按规定确定或者扣减工资福利待遇</w:t>
            </w:r>
          </w:p>
        </w:tc>
        <w:tc>
          <w:tcPr>
            <w:tcW w:w="1295"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6</w:t>
            </w:r>
          </w:p>
        </w:tc>
        <w:tc>
          <w:tcPr>
            <w:tcW w:w="5698"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法律、法规、规章规定可以提出申诉的其他人事处理</w:t>
            </w:r>
          </w:p>
        </w:tc>
        <w:tc>
          <w:tcPr>
            <w:tcW w:w="1295"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8"/>
                <w:szCs w:val="28"/>
              </w:rPr>
            </w:pPr>
          </w:p>
        </w:tc>
      </w:tr>
    </w:tbl>
    <w:p>
      <w:pPr>
        <w:pStyle w:val="11"/>
        <w:widowControl/>
        <w:spacing w:beforeAutospacing="0" w:afterAutospacing="0" w:line="560" w:lineRule="exact"/>
        <w:ind w:firstLine="420"/>
        <w:rPr>
          <w:rFonts w:ascii="仿宋_GB2312" w:hAnsi="仿宋_GB2312" w:eastAsia="仿宋_GB2312" w:cs="仿宋_GB2312"/>
          <w:sz w:val="32"/>
          <w:szCs w:val="32"/>
          <w:shd w:val="clear" w:color="auto" w:fill="FFFFFF"/>
        </w:rPr>
      </w:pPr>
    </w:p>
    <w:p>
      <w:pPr>
        <w:pStyle w:val="11"/>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2.法定途径：复核、申诉、再申诉。</w:t>
      </w:r>
    </w:p>
    <w:p>
      <w:pPr>
        <w:pStyle w:val="11"/>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3.主要政策法规依据：《中华人民共和国行政监察法》、《中华人民共和国公职人员政务处分法》、《事业单位人事管理条例》、《事业单位工作人员处分暂行规定》、《事业单位工作人员申诉规定》等。</w:t>
      </w:r>
    </w:p>
    <w:p>
      <w:pPr>
        <w:pStyle w:val="11"/>
        <w:widowControl/>
        <w:spacing w:beforeAutospacing="0" w:afterAutospacing="0" w:line="560" w:lineRule="exact"/>
        <w:ind w:firstLine="42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（八）用人单位与劳动者之间发生的劳动人事争议</w:t>
      </w:r>
    </w:p>
    <w:p>
      <w:pPr>
        <w:pStyle w:val="11"/>
        <w:widowControl/>
        <w:spacing w:beforeAutospacing="0" w:afterAutospacing="0" w:line="560" w:lineRule="exact"/>
        <w:ind w:firstLine="420"/>
        <w:rPr>
          <w:rFonts w:ascii="仿宋_GB2312" w:hAnsi="仿宋_GB2312" w:eastAsia="仿宋_GB2312" w:cs="仿宋_GB2312"/>
          <w:sz w:val="32"/>
          <w:szCs w:val="32"/>
          <w:shd w:val="clear" w:color="auto" w:fill="FFFFFF"/>
        </w:rPr>
      </w:pPr>
    </w:p>
    <w:p>
      <w:pPr>
        <w:pStyle w:val="11"/>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1.具体争议：</w:t>
      </w:r>
    </w:p>
    <w:p>
      <w:pPr>
        <w:pStyle w:val="11"/>
        <w:widowControl/>
        <w:spacing w:beforeAutospacing="0" w:afterAutospacing="0" w:line="560" w:lineRule="exac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用人单位与劳动者之间发生以下劳动人事争议：</w:t>
      </w:r>
    </w:p>
    <w:p>
      <w:pPr>
        <w:pStyle w:val="11"/>
        <w:widowControl/>
        <w:spacing w:beforeAutospacing="0" w:afterAutospacing="0" w:line="560" w:lineRule="exact"/>
        <w:ind w:firstLine="420"/>
        <w:rPr>
          <w:rFonts w:ascii="仿宋_GB2312" w:hAnsi="仿宋_GB2312" w:eastAsia="仿宋_GB2312" w:cs="仿宋_GB2312"/>
          <w:sz w:val="32"/>
          <w:szCs w:val="32"/>
          <w:shd w:val="clear" w:color="auto" w:fill="FFFFFF"/>
        </w:rPr>
      </w:pPr>
    </w:p>
    <w:tbl>
      <w:tblPr>
        <w:tblStyle w:val="13"/>
        <w:tblW w:w="7833" w:type="dxa"/>
        <w:jc w:val="center"/>
        <w:tblInd w:w="6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32"/>
        <w:gridCol w:w="5712"/>
        <w:gridCol w:w="13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序号</w:t>
            </w:r>
          </w:p>
        </w:tc>
        <w:tc>
          <w:tcPr>
            <w:tcW w:w="571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劳动人事争议内容</w:t>
            </w:r>
          </w:p>
        </w:tc>
        <w:tc>
          <w:tcPr>
            <w:tcW w:w="1389"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业务类别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1</w:t>
            </w:r>
          </w:p>
        </w:tc>
        <w:tc>
          <w:tcPr>
            <w:tcW w:w="571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因确认和解除劳动关系，解除人事关系发生的争议</w:t>
            </w:r>
          </w:p>
        </w:tc>
        <w:tc>
          <w:tcPr>
            <w:tcW w:w="1389" w:type="dxa"/>
            <w:vMerge w:val="restart"/>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pPr>
            <w:r>
              <w:rPr>
                <w:rFonts w:hint="eastAsia" w:ascii="仿宋_GB2312" w:hAnsi="仿宋_GB2312" w:eastAsia="仿宋_GB2312" w:cs="仿宋_GB2312"/>
              </w:rPr>
              <w:t>调解仲裁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2</w:t>
            </w:r>
          </w:p>
        </w:tc>
        <w:tc>
          <w:tcPr>
            <w:tcW w:w="571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因订立、履行、变更、解除和终止劳动合同发生的争议</w:t>
            </w:r>
          </w:p>
        </w:tc>
        <w:tc>
          <w:tcPr>
            <w:tcW w:w="1389"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3</w:t>
            </w:r>
          </w:p>
        </w:tc>
        <w:tc>
          <w:tcPr>
            <w:tcW w:w="571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因除名、辞退和辞职、离职发生的争议</w:t>
            </w:r>
          </w:p>
        </w:tc>
        <w:tc>
          <w:tcPr>
            <w:tcW w:w="1389"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4</w:t>
            </w:r>
          </w:p>
        </w:tc>
        <w:tc>
          <w:tcPr>
            <w:tcW w:w="571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因工作时间、休息休假、社会保险、福利、培训以及劳动保护发生的争议</w:t>
            </w:r>
          </w:p>
        </w:tc>
        <w:tc>
          <w:tcPr>
            <w:tcW w:w="1389"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5</w:t>
            </w:r>
          </w:p>
        </w:tc>
        <w:tc>
          <w:tcPr>
            <w:tcW w:w="571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因劳动报酬、工伤医疗费、经济补偿或者赔偿金等发生的争议</w:t>
            </w:r>
          </w:p>
        </w:tc>
        <w:tc>
          <w:tcPr>
            <w:tcW w:w="1389"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2"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6</w:t>
            </w:r>
          </w:p>
        </w:tc>
        <w:tc>
          <w:tcPr>
            <w:tcW w:w="571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履行集体合同、聘任合同、聘用合同发生争议</w:t>
            </w:r>
          </w:p>
        </w:tc>
        <w:tc>
          <w:tcPr>
            <w:tcW w:w="1389"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7</w:t>
            </w:r>
          </w:p>
        </w:tc>
        <w:tc>
          <w:tcPr>
            <w:tcW w:w="571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法律、法规规定的其他劳动人事争议</w:t>
            </w:r>
          </w:p>
        </w:tc>
        <w:tc>
          <w:tcPr>
            <w:tcW w:w="1389"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bl>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2.法定途径：申请调解仲裁。</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主要政策法规依据：《中华人民共和国劳动法》、《中华人民共和国劳动合同法》、《中华人民共和国社会保险法》、《中华人民共和国劳动争议调解仲裁法》、《事业单位人事管理条例》、《工伤保险条例》、《劳动人事争议仲裁办案规则》、《浙江省劳动人事争议调解仲裁条例》等。</w:t>
      </w:r>
    </w:p>
    <w:p>
      <w:pPr>
        <w:pStyle w:val="11"/>
        <w:widowControl/>
        <w:spacing w:beforeAutospacing="0" w:afterAutospacing="0" w:line="630" w:lineRule="atLeast"/>
        <w:ind w:firstLine="42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（九）用人单位或者职工不服设区的市级劳动能力鉴定委员会作出的鉴定结论</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1.具体事项：</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用人单位或者职工对设区的市级劳动能力鉴定委员会作出的鉴定结论不服。</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2.法定途径：申请再次鉴定。</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3.主要政策法规依据：《工伤保险条例》。</w:t>
      </w:r>
    </w:p>
    <w:p>
      <w:pPr>
        <w:pStyle w:val="11"/>
        <w:widowControl/>
        <w:spacing w:beforeAutospacing="0" w:afterAutospacing="0" w:line="630" w:lineRule="atLeast"/>
        <w:ind w:firstLine="42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（十）依法应当由司法机关处理的申诉和控告的事项</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1.具体事项：</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应当由司法机关处理的申诉和控告的以下事项：</w:t>
      </w:r>
    </w:p>
    <w:tbl>
      <w:tblPr>
        <w:tblStyle w:val="13"/>
        <w:tblW w:w="8540" w:type="dxa"/>
        <w:jc w:val="center"/>
        <w:tblInd w:w="6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32"/>
        <w:gridCol w:w="6236"/>
        <w:gridCol w:w="15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序号</w:t>
            </w:r>
          </w:p>
        </w:tc>
        <w:tc>
          <w:tcPr>
            <w:tcW w:w="6236"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申诉和控告内容</w:t>
            </w:r>
          </w:p>
        </w:tc>
        <w:tc>
          <w:tcPr>
            <w:tcW w:w="157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业务类别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98" w:hRule="atLeast"/>
          <w:jc w:val="center"/>
        </w:trPr>
        <w:tc>
          <w:tcPr>
            <w:tcW w:w="732" w:type="dxa"/>
            <w:vMerge w:val="restart"/>
            <w:tcBorders>
              <w:top w:val="single" w:color="auto" w:sz="4" w:space="0"/>
              <w:left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p>
            <w:pPr>
              <w:pStyle w:val="11"/>
              <w:widowControl/>
              <w:spacing w:beforeAutospacing="0" w:afterAutospacing="0" w:line="630" w:lineRule="atLeast"/>
              <w:jc w:val="center"/>
              <w:rPr>
                <w:rFonts w:ascii="仿宋_GB2312" w:hAnsi="仿宋_GB2312" w:eastAsia="仿宋_GB2312" w:cs="仿宋_GB2312"/>
                <w:sz w:val="28"/>
                <w:szCs w:val="28"/>
              </w:rPr>
            </w:pPr>
          </w:p>
          <w:p>
            <w:pPr>
              <w:pStyle w:val="11"/>
              <w:widowControl/>
              <w:spacing w:beforeAutospacing="0" w:afterAutospacing="0" w:line="630" w:lineRule="atLeast"/>
              <w:jc w:val="center"/>
              <w:rPr>
                <w:rFonts w:ascii="仿宋_GB2312" w:hAnsi="仿宋_GB2312" w:eastAsia="仿宋_GB2312" w:cs="仿宋_GB2312"/>
                <w:sz w:val="28"/>
                <w:szCs w:val="28"/>
              </w:rPr>
            </w:pPr>
          </w:p>
          <w:p>
            <w:pPr>
              <w:pStyle w:val="11"/>
              <w:widowControl/>
              <w:spacing w:beforeAutospacing="0" w:afterAutospacing="0" w:line="630" w:lineRule="atLeast"/>
              <w:jc w:val="center"/>
              <w:rPr>
                <w:rFonts w:ascii="仿宋_GB2312" w:hAnsi="仿宋_GB2312" w:eastAsia="仿宋_GB2312" w:cs="仿宋_GB2312"/>
                <w:sz w:val="28"/>
                <w:szCs w:val="28"/>
              </w:rPr>
            </w:pPr>
          </w:p>
        </w:tc>
        <w:tc>
          <w:tcPr>
            <w:tcW w:w="6236" w:type="dxa"/>
            <w:tcBorders>
              <w:top w:val="single" w:color="auto" w:sz="4" w:space="0"/>
              <w:left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当事人不服劳动人事争议仲裁委员会作出的裁决</w:t>
            </w:r>
          </w:p>
        </w:tc>
        <w:tc>
          <w:tcPr>
            <w:tcW w:w="1572" w:type="dxa"/>
            <w:vMerge w:val="restart"/>
            <w:tcBorders>
              <w:top w:val="single" w:color="auto" w:sz="4" w:space="0"/>
              <w:left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85" w:hRule="atLeast"/>
          <w:jc w:val="center"/>
        </w:trPr>
        <w:tc>
          <w:tcPr>
            <w:tcW w:w="732" w:type="dxa"/>
            <w:vMerge w:val="continue"/>
            <w:tcBorders>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pPr>
          </w:p>
        </w:tc>
        <w:tc>
          <w:tcPr>
            <w:tcW w:w="6236" w:type="dxa"/>
            <w:tcBorders>
              <w:top w:val="single" w:color="auto" w:sz="4" w:space="0"/>
              <w:left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劳动者以用人单位未为其办理社会保险手续，且社会保险经办机构不能补办导致其无法享受社会保险待遇为由，要求用人单位赔偿损失而发生争议的</w:t>
            </w:r>
          </w:p>
        </w:tc>
        <w:tc>
          <w:tcPr>
            <w:tcW w:w="1572" w:type="dxa"/>
            <w:vMerge w:val="continue"/>
            <w:tcBorders>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6236"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拒不支付劳动者的劳动报酬涉嫌犯罪的</w:t>
            </w:r>
          </w:p>
        </w:tc>
        <w:tc>
          <w:tcPr>
            <w:tcW w:w="157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公安处理</w:t>
            </w:r>
          </w:p>
        </w:tc>
      </w:tr>
    </w:tbl>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2.法定途径：诉讼、申诉、控告。</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主要政策法规依据：最高人民法院《关于审理劳动争议案件适用法律若干问题的解释（一）》、《关于审理劳动争议案件适用法律若干问题的解释（二）》、《关于审理劳动争议案件适用法律若干问题的解释（三）》等。</w:t>
      </w:r>
    </w:p>
    <w:p>
      <w:pPr>
        <w:pStyle w:val="11"/>
        <w:widowControl/>
        <w:spacing w:beforeAutospacing="0" w:afterAutospacing="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w:t>
      </w:r>
    </w:p>
    <w:p>
      <w:pPr>
        <w:pStyle w:val="11"/>
        <w:widowControl/>
        <w:spacing w:beforeAutospacing="0" w:afterAutospacing="0" w:line="630" w:lineRule="atLeast"/>
        <w:ind w:firstLine="420"/>
        <w:rPr>
          <w:rFonts w:ascii="黑体" w:hAnsi="黑体" w:eastAsia="黑体" w:cs="黑体"/>
          <w:sz w:val="32"/>
          <w:szCs w:val="32"/>
        </w:rPr>
      </w:pPr>
      <w:r>
        <w:rPr>
          <w:rFonts w:hint="eastAsia" w:ascii="黑体" w:hAnsi="黑体" w:eastAsia="黑体" w:cs="黑体"/>
          <w:sz w:val="32"/>
          <w:szCs w:val="32"/>
          <w:shd w:val="clear" w:color="auto" w:fill="FFFFFF"/>
        </w:rPr>
        <w:t>二、揭发控告类投诉请求</w:t>
      </w:r>
    </w:p>
    <w:p>
      <w:pPr>
        <w:pStyle w:val="11"/>
        <w:widowControl/>
        <w:spacing w:beforeAutospacing="0" w:afterAutospacing="0" w:line="630" w:lineRule="atLeast"/>
        <w:ind w:firstLine="42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（一）检举控告违法行为，要求人力社保部门作出行政处罚行为</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1.举报投诉的违法行为：</w:t>
      </w:r>
    </w:p>
    <w:tbl>
      <w:tblPr>
        <w:tblStyle w:val="13"/>
        <w:tblW w:w="8307" w:type="dxa"/>
        <w:jc w:val="center"/>
        <w:tblInd w:w="61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32"/>
        <w:gridCol w:w="5884"/>
        <w:gridCol w:w="16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序号</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举报投诉的违法行为</w:t>
            </w:r>
          </w:p>
        </w:tc>
        <w:tc>
          <w:tcPr>
            <w:tcW w:w="1691"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业务类别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1</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用人单位规章制度违反劳动保障法律、法规规定的</w:t>
            </w:r>
          </w:p>
        </w:tc>
        <w:tc>
          <w:tcPr>
            <w:tcW w:w="1691" w:type="dxa"/>
            <w:vMerge w:val="restart"/>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pPr>
            <w:r>
              <w:rPr>
                <w:rFonts w:hint="eastAsia" w:ascii="仿宋_GB2312" w:hAnsi="仿宋_GB2312" w:eastAsia="仿宋_GB2312" w:cs="仿宋_GB2312"/>
              </w:rPr>
              <w:t>劳动保障监察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2</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企业制定的工资支付制度违反法律、法规、规章规定的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3</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打击报复举报人、投诉人的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4</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企业未按照国家规定提取职工教育经费，挪用职工教育经费的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8"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5</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违反女职工和未成年工特殊保护规定的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6</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用人单位违法延长劳动者工作时间的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7</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以欺诈、伪造证明材料或者其他手段骗取省级社会保险基金支出的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8</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以欺诈、伪造证明材料或者其他手段骗取省级社会保险待遇的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9</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伪造、变造社会保险登记证，未按规定向职工公布本单位缴费情况的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rPr>
              <w:t>10</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用人单位不办理社会保险登记的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11</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违反其他工资支付有关规定的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12</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伪造、变造、隐匿、销毁工资支付记录的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13</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违反有关建立职工名册规定的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14</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用人单位将乙肝病毒血清学指标作为招用人员体检标准的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15</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外国人和用人单位伪造、涂改、冒用、转让、买卖就业证和许可证书的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6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16</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用人单位扣押劳动者证件、以担保或其他名义向劳动者收取财物、在解除或终止合同时扣押劳动者档案或者其他物品的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6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17</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用人单位提供虚假招聘信息发布虚假招聘广告，以招用人员为名牟取不正当利益或进行其他违法活动，招用无合法身份证件人员的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8"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18</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用人单位未保存（伪造）录用登记材料的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2"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19</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为不满16周岁的未成年人介绍就业的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20</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用人单位使用童工的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8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21</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未经许可和登记从事职业中介活动的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22</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职业中介机构提供虚假就业信息，为无合法证照的用人单位提供职业中介服务，伪造、涂改、转让职业中介许可证的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6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23</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职业中介机构扣押劳动者居民身份证等证件的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24</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职业中介机构未明示职业中介许可证、监督电话的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25</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职业中介机构违反服务台账有关规定的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26</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职业中介机构未按规定退还中介服务费的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27</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职业中介机构发布的就业信息中包含歧视性内容，为无合法身份证件的劳动者提供职业中介服务，介绍劳动者从事法律、法规禁止从事的职业，以暴力、胁迫、欺诈等方式进行职业中介活动，超出核准的业务范围经营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4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pPr>
            <w:r>
              <w:rPr>
                <w:sz w:val="21"/>
                <w:szCs w:val="21"/>
              </w:rPr>
              <w:t>28</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未及时为劳动者办理就业登记手续的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6"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sz w:val="28"/>
                <w:szCs w:val="28"/>
              </w:rPr>
            </w:pPr>
            <w:r>
              <w:rPr>
                <w:sz w:val="28"/>
                <w:szCs w:val="28"/>
              </w:rPr>
              <w:t>29</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劳务派遣单位违反劳务派遣有关规定的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sz w:val="28"/>
                <w:szCs w:val="28"/>
              </w:rPr>
            </w:pPr>
            <w:r>
              <w:rPr>
                <w:sz w:val="28"/>
                <w:szCs w:val="28"/>
              </w:rPr>
              <w:t>30</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用工单位违反劳务派遣有关规定的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sz w:val="28"/>
                <w:szCs w:val="28"/>
              </w:rPr>
            </w:pPr>
            <w:r>
              <w:rPr>
                <w:sz w:val="28"/>
                <w:szCs w:val="28"/>
              </w:rPr>
              <w:t>31</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职业介绍机构、职业技能培训机构或者职业技能考核鉴定机构违反国家有关职业介绍、职业技能培训或者职业技能考核鉴定规定的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64" w:hRule="atLeast"/>
          <w:jc w:val="center"/>
        </w:trPr>
        <w:tc>
          <w:tcPr>
            <w:tcW w:w="732"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sz w:val="28"/>
                <w:szCs w:val="28"/>
              </w:rPr>
            </w:pPr>
            <w:r>
              <w:rPr>
                <w:sz w:val="28"/>
                <w:szCs w:val="28"/>
              </w:rPr>
              <w:t>32</w:t>
            </w: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娱乐场所招用未成年人的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74" w:hRule="atLeast"/>
          <w:jc w:val="center"/>
        </w:trPr>
        <w:tc>
          <w:tcPr>
            <w:tcW w:w="732" w:type="dxa"/>
            <w:tcBorders>
              <w:top w:val="single" w:color="auto" w:sz="4" w:space="0"/>
              <w:left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sz w:val="28"/>
                <w:szCs w:val="28"/>
              </w:rPr>
            </w:pPr>
            <w:r>
              <w:rPr>
                <w:sz w:val="28"/>
                <w:szCs w:val="28"/>
              </w:rPr>
              <w:t>33</w:t>
            </w:r>
          </w:p>
          <w:p>
            <w:pPr>
              <w:pStyle w:val="11"/>
              <w:widowControl/>
              <w:spacing w:beforeAutospacing="0" w:afterAutospacing="0" w:line="630" w:lineRule="atLeast"/>
              <w:jc w:val="center"/>
              <w:rPr>
                <w:sz w:val="28"/>
                <w:szCs w:val="28"/>
              </w:rPr>
            </w:pPr>
          </w:p>
        </w:tc>
        <w:tc>
          <w:tcPr>
            <w:tcW w:w="5884"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劳务派遣单位有涂改、倒卖、出租、出借、骗取劳务派遣经营许可证等情形的</w:t>
            </w:r>
          </w:p>
        </w:tc>
        <w:tc>
          <w:tcPr>
            <w:tcW w:w="1691"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宋体"/>
                <w:sz w:val="24"/>
              </w:rPr>
            </w:pPr>
          </w:p>
        </w:tc>
      </w:tr>
    </w:tbl>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2.法定途径：劳动保障监察投诉。</w:t>
      </w:r>
    </w:p>
    <w:p>
      <w:pPr>
        <w:pStyle w:val="11"/>
        <w:widowControl/>
        <w:spacing w:beforeAutospacing="0" w:afterAutospacing="0" w:line="630" w:lineRule="atLeast"/>
        <w:ind w:firstLine="42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主要政策法规依据：《中华人民共和国劳动法》、《中华人民共和国劳动合同法》、《中华人民共和国就业促进法》、《劳动保障监察条例》、《工伤保险条例》、《中华人民共和国劳动合同法实施条例》、《禁止使用童工规定》、《社会保险费征缴监督检查办法》、《就业服务与就业管理规定》、《浙江省劳动保障监察条例》、《浙江省企业工资支付管理办法》等。</w:t>
      </w:r>
    </w:p>
    <w:p>
      <w:pPr>
        <w:pStyle w:val="11"/>
        <w:widowControl/>
        <w:spacing w:beforeAutospacing="0" w:afterAutospacing="0" w:line="630" w:lineRule="atLeast"/>
        <w:ind w:firstLine="42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（二）检举人力社保部门及其工作人员违反行政纪律的行为</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1.法定途径：行政监察举报。</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2.主要政府法规依据：《中华人民共和国行政监察法》、《中华人民共和国公职人员政务处分法》、《行政机关公务员处分条例》等。</w:t>
      </w:r>
    </w:p>
    <w:p>
      <w:pPr>
        <w:pStyle w:val="11"/>
        <w:widowControl/>
        <w:spacing w:beforeAutospacing="0" w:afterAutospacing="0" w:line="630" w:lineRule="atLeast"/>
        <w:ind w:firstLine="42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（三）检举人力社保部门党员干部违规违纪问题</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1.法定途径：纪律检查举报。</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2.主要政策法规依据：《中国共产党纪律处分条例》、《中国共产党纪律检查机关控告申诉工作条例》、《党员领导干部选拔任用工作条例》等。</w:t>
      </w:r>
    </w:p>
    <w:p>
      <w:pPr>
        <w:pStyle w:val="11"/>
        <w:widowControl/>
        <w:spacing w:beforeAutospacing="0" w:afterAutospacing="0" w:line="630" w:lineRule="atLeast"/>
        <w:ind w:firstLine="420"/>
        <w:rPr>
          <w:rFonts w:ascii="黑体" w:hAnsi="黑体" w:eastAsia="黑体" w:cs="黑体"/>
          <w:sz w:val="32"/>
          <w:szCs w:val="32"/>
        </w:rPr>
      </w:pPr>
      <w:r>
        <w:rPr>
          <w:rFonts w:hint="eastAsia" w:ascii="黑体" w:hAnsi="黑体" w:eastAsia="黑体" w:cs="黑体"/>
          <w:sz w:val="32"/>
          <w:szCs w:val="32"/>
          <w:shd w:val="clear" w:color="auto" w:fill="FFFFFF"/>
        </w:rPr>
        <w:t>三、信息公开类投诉请求</w:t>
      </w:r>
    </w:p>
    <w:p>
      <w:pPr>
        <w:spacing w:line="500" w:lineRule="exact"/>
        <w:ind w:firstLine="320" w:firstLineChars="100"/>
        <w:rPr>
          <w:rFonts w:ascii="楷体_GB2312" w:hAnsi="楷体_GB2312" w:eastAsia="楷体_GB2312" w:cs="楷体_GB2312"/>
          <w:sz w:val="32"/>
          <w:szCs w:val="32"/>
        </w:rPr>
      </w:pPr>
      <w:r>
        <w:rPr>
          <w:rFonts w:hint="eastAsia" w:ascii="楷体_GB2312" w:hAnsi="楷体_GB2312" w:eastAsia="楷体_GB2312" w:cs="楷体_GB2312"/>
          <w:sz w:val="32"/>
          <w:szCs w:val="32"/>
          <w:shd w:val="clear" w:color="auto" w:fill="FFFFFF"/>
        </w:rPr>
        <w:t> </w:t>
      </w:r>
      <w:r>
        <w:rPr>
          <w:rFonts w:hint="eastAsia" w:ascii="楷体_GB2312" w:hAnsi="楷体_GB2312" w:eastAsia="楷体_GB2312" w:cs="楷体_GB2312"/>
          <w:sz w:val="32"/>
          <w:szCs w:val="32"/>
        </w:rPr>
        <w:t>（一）申请政府信息公开</w:t>
      </w:r>
    </w:p>
    <w:p>
      <w:pPr>
        <w:spacing w:line="5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1.具体事项</w:t>
      </w:r>
    </w:p>
    <w:tbl>
      <w:tblPr>
        <w:tblStyle w:val="13"/>
        <w:tblW w:w="8806"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spacing w:line="50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7847" w:type="dxa"/>
          </w:tcPr>
          <w:p>
            <w:pPr>
              <w:spacing w:line="500" w:lineRule="exact"/>
              <w:jc w:val="center"/>
              <w:rPr>
                <w:rFonts w:ascii="黑体" w:hAnsi="黑体" w:eastAsia="黑体" w:cs="黑体"/>
                <w:sz w:val="28"/>
                <w:szCs w:val="28"/>
              </w:rPr>
            </w:pPr>
            <w:r>
              <w:rPr>
                <w:rFonts w:hint="eastAsia" w:ascii="黑体" w:hAnsi="黑体" w:eastAsia="黑体" w:cs="黑体"/>
                <w:sz w:val="28"/>
                <w:szCs w:val="28"/>
              </w:rPr>
              <w:t>具体事项内容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847"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申请人力社保局信息公开</w:t>
            </w:r>
          </w:p>
        </w:tc>
      </w:tr>
    </w:tbl>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2.法定途径：向市人力社保局提出。</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3.法定依据：《中华人民共和国政府信息公开条例》。</w:t>
      </w:r>
    </w:p>
    <w:p>
      <w:pPr>
        <w:spacing w:line="440" w:lineRule="exact"/>
        <w:ind w:firstLine="320" w:firstLineChars="100"/>
        <w:rPr>
          <w:rFonts w:ascii="楷体_GB2312" w:hAnsi="黑体" w:eastAsia="楷体_GB2312"/>
          <w:sz w:val="32"/>
          <w:szCs w:val="32"/>
        </w:rPr>
      </w:pPr>
      <w:r>
        <w:rPr>
          <w:rFonts w:hint="eastAsia" w:ascii="楷体_GB2312" w:hAnsi="黑体" w:eastAsia="楷体_GB2312" w:cs="楷体_GB2312"/>
          <w:sz w:val="32"/>
          <w:szCs w:val="32"/>
        </w:rPr>
        <w:t>（二）认为人力社保局不依法履行政府信息公开义务</w:t>
      </w:r>
    </w:p>
    <w:p>
      <w:pPr>
        <w:spacing w:line="440" w:lineRule="exact"/>
        <w:ind w:firstLine="640" w:firstLineChars="200"/>
        <w:rPr>
          <w:rFonts w:ascii="黑体" w:hAnsi="黑体" w:eastAsia="黑体"/>
          <w:bCs/>
          <w:sz w:val="32"/>
          <w:szCs w:val="32"/>
        </w:rPr>
      </w:pPr>
      <w:r>
        <w:rPr>
          <w:rFonts w:ascii="黑体" w:hAnsi="黑体" w:eastAsia="黑体" w:cs="黑体"/>
          <w:bCs/>
          <w:sz w:val="32"/>
          <w:szCs w:val="32"/>
        </w:rPr>
        <w:t>1.</w:t>
      </w:r>
      <w:r>
        <w:rPr>
          <w:rFonts w:hint="eastAsia" w:ascii="黑体" w:hAnsi="黑体" w:eastAsia="黑体" w:cs="黑体"/>
          <w:bCs/>
          <w:sz w:val="32"/>
          <w:szCs w:val="32"/>
        </w:rPr>
        <w:t>具体事项</w:t>
      </w:r>
    </w:p>
    <w:tbl>
      <w:tblPr>
        <w:tblStyle w:val="13"/>
        <w:tblW w:w="8806"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spacing w:line="50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7847" w:type="dxa"/>
          </w:tcPr>
          <w:p>
            <w:pPr>
              <w:spacing w:line="500" w:lineRule="exact"/>
              <w:jc w:val="center"/>
              <w:rPr>
                <w:rFonts w:ascii="黑体" w:hAnsi="黑体" w:eastAsia="黑体" w:cs="黑体"/>
                <w:sz w:val="28"/>
                <w:szCs w:val="28"/>
              </w:rPr>
            </w:pPr>
            <w:r>
              <w:rPr>
                <w:rFonts w:hint="eastAsia" w:ascii="黑体" w:hAnsi="黑体" w:eastAsia="黑体" w:cs="黑体"/>
                <w:sz w:val="28"/>
                <w:szCs w:val="28"/>
              </w:rPr>
              <w:t>具体事项内容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847"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认为人力社保局不依法履行政府信息公开义务</w:t>
            </w:r>
          </w:p>
        </w:tc>
      </w:tr>
    </w:tbl>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2.法定途径：向省人力社保厅或市政府信息公开工作主管部门举报。</w:t>
      </w:r>
    </w:p>
    <w:p>
      <w:p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3.法定依据：《中华人民共和国政府信息公开条例》。</w:t>
      </w:r>
    </w:p>
    <w:p>
      <w:pPr>
        <w:spacing w:line="440" w:lineRule="exact"/>
        <w:ind w:firstLine="320" w:firstLineChars="100"/>
        <w:rPr>
          <w:rFonts w:ascii="仿宋_GB2312" w:hAnsi="仿宋_GB2312" w:eastAsia="仿宋_GB2312" w:cs="仿宋_GB2312"/>
          <w:bCs/>
          <w:sz w:val="32"/>
          <w:szCs w:val="32"/>
        </w:rPr>
      </w:pPr>
      <w:r>
        <w:rPr>
          <w:rFonts w:hint="eastAsia" w:ascii="楷体_GB2312" w:hAnsi="黑体" w:eastAsia="楷体_GB2312" w:cs="楷体_GB2312"/>
          <w:sz w:val="32"/>
          <w:szCs w:val="32"/>
        </w:rPr>
        <w:t>（三）认为人力社保局在政府信息公开具体行政行为侵犯其合法权益</w:t>
      </w:r>
    </w:p>
    <w:p>
      <w:pPr>
        <w:spacing w:line="4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1.具体事项</w:t>
      </w:r>
    </w:p>
    <w:tbl>
      <w:tblPr>
        <w:tblStyle w:val="13"/>
        <w:tblW w:w="8806"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序号</w:t>
            </w:r>
          </w:p>
        </w:tc>
        <w:tc>
          <w:tcPr>
            <w:tcW w:w="7847" w:type="dxa"/>
          </w:tcPr>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具体事项内容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9" w:type="dxa"/>
          </w:tcPr>
          <w:p>
            <w:pPr>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7847" w:type="dxa"/>
          </w:tcPr>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认为人力社保局在政府信息公开具体行政行为侵犯其合法权益</w:t>
            </w:r>
          </w:p>
        </w:tc>
      </w:tr>
    </w:tbl>
    <w:p>
      <w:pPr>
        <w:spacing w:line="480" w:lineRule="exact"/>
        <w:ind w:firstLine="640" w:firstLineChars="200"/>
        <w:rPr>
          <w:rFonts w:ascii="楷体_GB2312" w:hAnsi="黑体" w:eastAsia="楷体_GB2312" w:cs="楷体_GB2312"/>
          <w:sz w:val="32"/>
          <w:szCs w:val="32"/>
        </w:rPr>
      </w:pP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2.法定途径：申请行政复议或提起行政诉讼。</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3.法定依据：《中华人民共和国政府信息公开条例》。</w:t>
      </w:r>
    </w:p>
    <w:p>
      <w:pPr>
        <w:pStyle w:val="11"/>
        <w:widowControl/>
        <w:spacing w:beforeAutospacing="0" w:afterAutospacing="0" w:line="630" w:lineRule="atLeast"/>
        <w:ind w:firstLine="420"/>
        <w:rPr>
          <w:rFonts w:ascii="黑体" w:hAnsi="黑体" w:eastAsia="黑体" w:cs="黑体"/>
          <w:sz w:val="32"/>
          <w:szCs w:val="32"/>
        </w:rPr>
      </w:pPr>
      <w:r>
        <w:rPr>
          <w:rFonts w:hint="eastAsia" w:ascii="黑体" w:hAnsi="黑体" w:eastAsia="黑体" w:cs="黑体"/>
          <w:sz w:val="32"/>
          <w:szCs w:val="32"/>
          <w:shd w:val="clear" w:color="auto" w:fill="FFFFFF"/>
        </w:rPr>
        <w:t>四、应当通过来信或依法逐级走访反映的事项</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1.具体事项：</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应当通过来信或依法逐级走访反映的以下事项：</w:t>
      </w:r>
    </w:p>
    <w:tbl>
      <w:tblPr>
        <w:tblStyle w:val="13"/>
        <w:tblW w:w="8389" w:type="dxa"/>
        <w:jc w:val="center"/>
        <w:tblInd w:w="-12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467"/>
        <w:gridCol w:w="5386"/>
        <w:gridCol w:w="15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44"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序号</w:t>
            </w:r>
          </w:p>
        </w:tc>
        <w:tc>
          <w:tcPr>
            <w:tcW w:w="5386"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反映内容</w:t>
            </w:r>
          </w:p>
        </w:tc>
        <w:tc>
          <w:tcPr>
            <w:tcW w:w="1536"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黑体" w:hAnsi="黑体" w:eastAsia="黑体" w:cs="黑体"/>
                <w:sz w:val="28"/>
                <w:szCs w:val="28"/>
              </w:rPr>
            </w:pPr>
            <w:r>
              <w:rPr>
                <w:rFonts w:hint="eastAsia" w:ascii="黑体" w:hAnsi="黑体" w:eastAsia="黑体" w:cs="黑体"/>
                <w:sz w:val="28"/>
                <w:szCs w:val="28"/>
              </w:rPr>
              <w:t>业务类别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6"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sz w:val="21"/>
                <w:szCs w:val="21"/>
              </w:rPr>
              <w:t>1</w:t>
            </w:r>
          </w:p>
        </w:tc>
        <w:tc>
          <w:tcPr>
            <w:tcW w:w="5386"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向人力社保部门提出建议、意见或者投诉请求的</w:t>
            </w:r>
          </w:p>
        </w:tc>
        <w:tc>
          <w:tcPr>
            <w:tcW w:w="1536" w:type="dxa"/>
            <w:vMerge w:val="restart"/>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sz w:val="28"/>
                <w:szCs w:val="28"/>
              </w:rPr>
              <w:t>信访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467"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sz w:val="21"/>
                <w:szCs w:val="21"/>
              </w:rPr>
              <w:t>2</w:t>
            </w:r>
          </w:p>
        </w:tc>
        <w:tc>
          <w:tcPr>
            <w:tcW w:w="5386"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对本级人力社保部门及其工作人员的职务行为反映情况，或者不服其职务行为的</w:t>
            </w:r>
          </w:p>
        </w:tc>
        <w:tc>
          <w:tcPr>
            <w:tcW w:w="1536"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仿宋_GB2312" w:hAnsi="仿宋_GB2312" w:eastAsia="仿宋_GB2312" w:cs="仿宋_GB2312"/>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2" w:hRule="atLeast"/>
          <w:jc w:val="center"/>
        </w:trPr>
        <w:tc>
          <w:tcPr>
            <w:tcW w:w="1467"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jc w:val="center"/>
              <w:rPr>
                <w:rFonts w:ascii="仿宋_GB2312" w:hAnsi="仿宋_GB2312" w:eastAsia="仿宋_GB2312" w:cs="仿宋_GB2312"/>
              </w:rPr>
            </w:pPr>
            <w:r>
              <w:rPr>
                <w:rFonts w:hint="eastAsia" w:ascii="仿宋_GB2312" w:hAnsi="仿宋_GB2312" w:eastAsia="仿宋_GB2312" w:cs="仿宋_GB2312"/>
                <w:sz w:val="21"/>
                <w:szCs w:val="21"/>
              </w:rPr>
              <w:t>3</w:t>
            </w:r>
          </w:p>
        </w:tc>
        <w:tc>
          <w:tcPr>
            <w:tcW w:w="5386" w:type="dxa"/>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pStyle w:val="11"/>
              <w:widowControl/>
              <w:spacing w:beforeAutospacing="0" w:afterAutospacing="0" w:line="63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依照法律、法规、规章规定应由人力社保部门受理的人力资源和社会保障信访事项</w:t>
            </w:r>
          </w:p>
        </w:tc>
        <w:tc>
          <w:tcPr>
            <w:tcW w:w="1536" w:type="dxa"/>
            <w:vMerge w:val="continue"/>
            <w:tcBorders>
              <w:top w:val="single" w:color="auto" w:sz="4" w:space="0"/>
              <w:left w:val="single" w:color="auto" w:sz="4" w:space="0"/>
              <w:bottom w:val="single" w:color="auto" w:sz="4" w:space="0"/>
              <w:right w:val="single" w:color="auto" w:sz="4" w:space="0"/>
            </w:tcBorders>
            <w:shd w:val="clear" w:color="auto" w:fill="auto"/>
            <w:tcMar>
              <w:left w:w="84" w:type="dxa"/>
              <w:right w:w="84" w:type="dxa"/>
            </w:tcMar>
            <w:vAlign w:val="center"/>
          </w:tcPr>
          <w:p>
            <w:pPr>
              <w:rPr>
                <w:rFonts w:ascii="仿宋_GB2312" w:hAnsi="仿宋_GB2312" w:eastAsia="仿宋_GB2312" w:cs="仿宋_GB2312"/>
                <w:sz w:val="24"/>
              </w:rPr>
            </w:pPr>
          </w:p>
        </w:tc>
      </w:tr>
    </w:tbl>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2.法定途径：信访。</w:t>
      </w:r>
    </w:p>
    <w:p>
      <w:pPr>
        <w:pStyle w:val="11"/>
        <w:widowControl/>
        <w:spacing w:beforeAutospacing="0" w:afterAutospacing="0" w:line="630" w:lineRule="atLeas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3.主要政策法规依据：《信访条例》、《浙江省信访条例》。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0A409"/>
    <w:multiLevelType w:val="multilevel"/>
    <w:tmpl w:val="A8F0A409"/>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1712C"/>
    <w:rsid w:val="1661712C"/>
    <w:rsid w:val="1C3D00F5"/>
    <w:rsid w:val="265A02E8"/>
    <w:rsid w:val="2C24411B"/>
    <w:rsid w:val="2E026280"/>
    <w:rsid w:val="31305B68"/>
    <w:rsid w:val="36616226"/>
    <w:rsid w:val="38377FC0"/>
    <w:rsid w:val="3A811550"/>
    <w:rsid w:val="51807AC1"/>
    <w:rsid w:val="78BD5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580" w:lineRule="exact"/>
      <w:ind w:firstLine="0" w:firstLineChars="0"/>
      <w:jc w:val="center"/>
      <w:outlineLvl w:val="0"/>
    </w:pPr>
    <w:rPr>
      <w:rFonts w:eastAsia="黑体"/>
      <w:b/>
      <w:kern w:val="44"/>
      <w:sz w:val="32"/>
    </w:rPr>
  </w:style>
  <w:style w:type="paragraph" w:styleId="3">
    <w:name w:val="heading 2"/>
    <w:basedOn w:val="1"/>
    <w:next w:val="1"/>
    <w:semiHidden/>
    <w:unhideWhenUsed/>
    <w:qFormat/>
    <w:uiPriority w:val="0"/>
    <w:pPr>
      <w:numPr>
        <w:ilvl w:val="1"/>
        <w:numId w:val="1"/>
      </w:numPr>
      <w:spacing w:before="0" w:beforeAutospacing="0" w:after="0" w:afterAutospacing="0" w:line="240" w:lineRule="auto"/>
      <w:ind w:firstLine="643" w:firstLineChars="200"/>
      <w:jc w:val="left"/>
      <w:outlineLvl w:val="1"/>
    </w:pPr>
    <w:rPr>
      <w:rFonts w:hint="eastAsia" w:ascii="宋体" w:hAnsi="宋体" w:eastAsia="楷体_GB2312" w:cs="宋体"/>
      <w:kern w:val="0"/>
      <w:sz w:val="32"/>
      <w:szCs w:val="36"/>
      <w:lang w:bidi="ar"/>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firstLineChars="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2">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11">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2020-08-28T10:19:00Z</dcterms:created>
  <dc:creator>夜幕下的似水流年</dc:creator>
  <cp:lastModifiedBy>夜幕下的似水流年</cp:lastModifiedBy>
  <dcterms:modified xsi:type="dcterms:W3CDTF">2020-08-28T10:19:58Z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